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37DC" w14:textId="77777777" w:rsidR="000D275A" w:rsidRPr="007803E9" w:rsidRDefault="006872FB" w:rsidP="00E90E7E">
      <w:pPr>
        <w:pStyle w:val="NoSpacing"/>
        <w:rPr>
          <w:rFonts w:ascii="Century Gothic" w:hAnsi="Century Gothic"/>
          <w:b/>
          <w:sz w:val="20"/>
          <w:szCs w:val="20"/>
        </w:rPr>
      </w:pPr>
      <w:r w:rsidRPr="007803E9">
        <w:rPr>
          <w:rFonts w:ascii="Century Gothic" w:hAnsi="Century Gothic"/>
          <w:b/>
          <w:sz w:val="20"/>
          <w:szCs w:val="20"/>
        </w:rPr>
        <w:t>Equality Objectives 2021-25</w:t>
      </w:r>
    </w:p>
    <w:p w14:paraId="4828CD5C" w14:textId="77777777" w:rsidR="00513DBE" w:rsidRPr="007803E9" w:rsidRDefault="00513DBE" w:rsidP="00E90E7E">
      <w:pPr>
        <w:pStyle w:val="NoSpacing"/>
        <w:rPr>
          <w:rFonts w:ascii="Century Gothic" w:hAnsi="Century Gothic"/>
          <w:b/>
          <w:sz w:val="20"/>
          <w:szCs w:val="20"/>
        </w:rPr>
      </w:pPr>
      <w:r w:rsidRPr="007803E9">
        <w:rPr>
          <w:rFonts w:ascii="Century Gothic" w:hAnsi="Century Gothic"/>
          <w:b/>
          <w:sz w:val="20"/>
          <w:szCs w:val="20"/>
        </w:rPr>
        <w:t>Dale Community Primary School</w:t>
      </w:r>
      <w:r w:rsidR="00637887" w:rsidRPr="007803E9">
        <w:rPr>
          <w:rFonts w:ascii="Century Gothic" w:hAnsi="Century Gothic"/>
          <w:b/>
          <w:sz w:val="20"/>
          <w:szCs w:val="20"/>
        </w:rPr>
        <w:t xml:space="preserve"> and Stonehill Nursery School</w:t>
      </w:r>
    </w:p>
    <w:p w14:paraId="605B257A" w14:textId="77777777" w:rsidR="007803E9" w:rsidRPr="007803E9" w:rsidRDefault="007803E9" w:rsidP="00E90E7E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3109"/>
        <w:gridCol w:w="1294"/>
        <w:gridCol w:w="892"/>
        <w:gridCol w:w="2552"/>
        <w:gridCol w:w="3366"/>
      </w:tblGrid>
      <w:tr w:rsidR="00EF08E7" w:rsidRPr="007803E9" w14:paraId="28B71560" w14:textId="77777777" w:rsidTr="00C30CFF">
        <w:tc>
          <w:tcPr>
            <w:tcW w:w="3347" w:type="dxa"/>
            <w:shd w:val="clear" w:color="auto" w:fill="5B9BD5" w:themeFill="accent1"/>
          </w:tcPr>
          <w:p w14:paraId="23B9981B" w14:textId="77777777" w:rsidR="00EF08E7" w:rsidRPr="007803E9" w:rsidRDefault="00EF08E7" w:rsidP="00EF08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Objective</w:t>
            </w:r>
          </w:p>
        </w:tc>
        <w:tc>
          <w:tcPr>
            <w:tcW w:w="3109" w:type="dxa"/>
            <w:shd w:val="clear" w:color="auto" w:fill="5B9BD5" w:themeFill="accent1"/>
          </w:tcPr>
          <w:p w14:paraId="220D1508" w14:textId="77777777" w:rsidR="00EF08E7" w:rsidRPr="007803E9" w:rsidRDefault="00EF08E7" w:rsidP="00EF08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Action</w:t>
            </w:r>
          </w:p>
        </w:tc>
        <w:tc>
          <w:tcPr>
            <w:tcW w:w="1294" w:type="dxa"/>
            <w:shd w:val="clear" w:color="auto" w:fill="5B9BD5" w:themeFill="accent1"/>
          </w:tcPr>
          <w:p w14:paraId="6AECA9D9" w14:textId="77777777" w:rsidR="00EF08E7" w:rsidRPr="007803E9" w:rsidRDefault="00EF08E7" w:rsidP="00EF08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When</w:t>
            </w:r>
          </w:p>
        </w:tc>
        <w:tc>
          <w:tcPr>
            <w:tcW w:w="892" w:type="dxa"/>
            <w:shd w:val="clear" w:color="auto" w:fill="5B9BD5" w:themeFill="accent1"/>
          </w:tcPr>
          <w:p w14:paraId="143CD0C9" w14:textId="77777777" w:rsidR="00EF08E7" w:rsidRPr="007803E9" w:rsidRDefault="00EF08E7" w:rsidP="00EF08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Who</w:t>
            </w:r>
          </w:p>
        </w:tc>
        <w:tc>
          <w:tcPr>
            <w:tcW w:w="2552" w:type="dxa"/>
            <w:shd w:val="clear" w:color="auto" w:fill="5B9BD5" w:themeFill="accent1"/>
          </w:tcPr>
          <w:p w14:paraId="7C2278AC" w14:textId="77777777" w:rsidR="00EF08E7" w:rsidRPr="007803E9" w:rsidRDefault="00EF08E7" w:rsidP="00EF08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Measure</w:t>
            </w:r>
          </w:p>
        </w:tc>
        <w:tc>
          <w:tcPr>
            <w:tcW w:w="3366" w:type="dxa"/>
            <w:shd w:val="clear" w:color="auto" w:fill="5B9BD5" w:themeFill="accent1"/>
          </w:tcPr>
          <w:p w14:paraId="517C4D87" w14:textId="77777777" w:rsidR="00EF08E7" w:rsidRPr="007803E9" w:rsidRDefault="00EF08E7" w:rsidP="00EF08E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Outcome/impact</w:t>
            </w:r>
          </w:p>
        </w:tc>
      </w:tr>
      <w:tr w:rsidR="003E6C82" w:rsidRPr="007803E9" w14:paraId="00DF5715" w14:textId="77777777" w:rsidTr="00C30CFF">
        <w:trPr>
          <w:trHeight w:val="420"/>
        </w:trPr>
        <w:tc>
          <w:tcPr>
            <w:tcW w:w="3347" w:type="dxa"/>
            <w:vMerge w:val="restart"/>
          </w:tcPr>
          <w:p w14:paraId="12BBDBD8" w14:textId="77777777" w:rsidR="003E6C82" w:rsidRPr="007803E9" w:rsidRDefault="003E6C82" w:rsidP="003E6C82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7803E9">
              <w:rPr>
                <w:rFonts w:ascii="Century Gothic" w:hAnsi="Century Gothic"/>
                <w:i/>
                <w:sz w:val="20"/>
                <w:szCs w:val="20"/>
              </w:rPr>
              <w:t>Dale Community Primary and Stonehill Nursery</w:t>
            </w:r>
          </w:p>
          <w:p w14:paraId="4BEDAA63" w14:textId="77777777" w:rsidR="003E6C82" w:rsidRPr="007803E9" w:rsidRDefault="003E6C82" w:rsidP="003E6C8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7AE654A" w14:textId="77777777" w:rsidR="003E6C82" w:rsidRPr="007803E9" w:rsidRDefault="003E6C82" w:rsidP="003E6C8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To improve staff and Governor understanding of equal opportunities and non-discrimination particularly with regards to statutory duties when teaching RHE</w:t>
            </w:r>
          </w:p>
          <w:p w14:paraId="7870B31A" w14:textId="77777777" w:rsidR="003E6C82" w:rsidRPr="007803E9" w:rsidRDefault="003E6C82" w:rsidP="003E6C8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</w:tcPr>
          <w:p w14:paraId="1693E9F4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Staff and Governor training on the Equality Act, protected characteristics and links to the PSHE curriculum</w:t>
            </w:r>
          </w:p>
          <w:p w14:paraId="4382F2B5" w14:textId="77777777" w:rsidR="00AB52EA" w:rsidRPr="007803E9" w:rsidRDefault="00AB52EA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A5E505" w14:textId="77777777" w:rsidR="00AB52EA" w:rsidRPr="007803E9" w:rsidRDefault="00AB52EA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Implementation of PSHE curriculum</w:t>
            </w:r>
          </w:p>
        </w:tc>
        <w:tc>
          <w:tcPr>
            <w:tcW w:w="1294" w:type="dxa"/>
            <w:vMerge w:val="restart"/>
          </w:tcPr>
          <w:p w14:paraId="244FAD6F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September 2021</w:t>
            </w:r>
          </w:p>
          <w:p w14:paraId="1FBD5324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2B616C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4541CD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FA3FF2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740507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By July 2022</w:t>
            </w:r>
          </w:p>
          <w:p w14:paraId="33F1966A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24352D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18E2ED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C6874C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414959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By July 2023</w:t>
            </w:r>
          </w:p>
        </w:tc>
        <w:tc>
          <w:tcPr>
            <w:tcW w:w="892" w:type="dxa"/>
            <w:vMerge w:val="restart"/>
          </w:tcPr>
          <w:p w14:paraId="0DA7B3E7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LF</w:t>
            </w:r>
          </w:p>
        </w:tc>
        <w:tc>
          <w:tcPr>
            <w:tcW w:w="2552" w:type="dxa"/>
            <w:vMerge w:val="restart"/>
          </w:tcPr>
          <w:p w14:paraId="75AD4CDA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Staff report increased understanding of the Equality Act, equal opportunities and discrimination</w:t>
            </w:r>
          </w:p>
          <w:p w14:paraId="146A4048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30D203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Statutory RHE guidance covered in the PSHE curriculum whilst sensitive to the needs of the community</w:t>
            </w:r>
          </w:p>
          <w:p w14:paraId="2AF59E59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C88D55" w14:textId="77777777" w:rsidR="007803E9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Pupils demonstrate</w:t>
            </w:r>
            <w:r w:rsidR="00E72195" w:rsidRPr="007803E9">
              <w:rPr>
                <w:rFonts w:ascii="Century Gothic" w:hAnsi="Century Gothic"/>
                <w:sz w:val="20"/>
                <w:szCs w:val="20"/>
              </w:rPr>
              <w:t xml:space="preserve"> an i</w:t>
            </w:r>
            <w:r w:rsidRPr="007803E9">
              <w:rPr>
                <w:rFonts w:ascii="Century Gothic" w:hAnsi="Century Gothic"/>
                <w:sz w:val="20"/>
                <w:szCs w:val="20"/>
              </w:rPr>
              <w:t>ncreased understanding of the</w:t>
            </w:r>
            <w:r w:rsidR="00AB52EA" w:rsidRPr="007803E9">
              <w:rPr>
                <w:rFonts w:ascii="Century Gothic" w:hAnsi="Century Gothic"/>
                <w:sz w:val="20"/>
                <w:szCs w:val="20"/>
              </w:rPr>
              <w:t xml:space="preserve"> protected </w:t>
            </w:r>
            <w:r w:rsidRPr="007803E9">
              <w:rPr>
                <w:rFonts w:ascii="Century Gothic" w:hAnsi="Century Gothic"/>
                <w:sz w:val="20"/>
                <w:szCs w:val="20"/>
              </w:rPr>
              <w:t>characteristics</w:t>
            </w:r>
          </w:p>
        </w:tc>
        <w:tc>
          <w:tcPr>
            <w:tcW w:w="3366" w:type="dxa"/>
          </w:tcPr>
          <w:p w14:paraId="47E2B6EB" w14:textId="77777777" w:rsidR="003E6C82" w:rsidRPr="00F516B5" w:rsidRDefault="003E6C82" w:rsidP="003E6C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516B5">
              <w:rPr>
                <w:rFonts w:ascii="Century Gothic" w:hAnsi="Century Gothic"/>
                <w:sz w:val="20"/>
                <w:szCs w:val="20"/>
                <w:u w:val="single"/>
              </w:rPr>
              <w:t>End of</w:t>
            </w:r>
            <w:r w:rsidR="00275C3C" w:rsidRPr="00F516B5">
              <w:rPr>
                <w:rFonts w:ascii="Century Gothic" w:hAnsi="Century Gothic"/>
                <w:sz w:val="20"/>
                <w:szCs w:val="20"/>
                <w:u w:val="single"/>
              </w:rPr>
              <w:t xml:space="preserve"> year review – Year 1 (July 2022</w:t>
            </w:r>
            <w:r w:rsidRPr="00F516B5">
              <w:rPr>
                <w:rFonts w:ascii="Century Gothic" w:hAnsi="Century Gothic"/>
                <w:sz w:val="20"/>
                <w:szCs w:val="20"/>
                <w:u w:val="single"/>
              </w:rPr>
              <w:t>)</w:t>
            </w:r>
          </w:p>
          <w:p w14:paraId="5F902252" w14:textId="77777777" w:rsidR="00F516B5" w:rsidRDefault="00F516B5" w:rsidP="00F516B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PSHE scheme of work covers all areas of the statutory RHE guidance.  The teaching of the protected characteristics has been identified throughout the PSHE scheme of work.</w:t>
            </w:r>
          </w:p>
          <w:p w14:paraId="37819289" w14:textId="77777777" w:rsidR="00FA1566" w:rsidRPr="007803E9" w:rsidRDefault="00F516B5" w:rsidP="003E6C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Assemblies reviewed for next academic year to include protected characteristics.</w:t>
            </w:r>
          </w:p>
        </w:tc>
      </w:tr>
      <w:tr w:rsidR="003E6C82" w:rsidRPr="007803E9" w14:paraId="097D0B51" w14:textId="77777777" w:rsidTr="00C30CFF">
        <w:trPr>
          <w:trHeight w:val="435"/>
        </w:trPr>
        <w:tc>
          <w:tcPr>
            <w:tcW w:w="3347" w:type="dxa"/>
            <w:vMerge/>
          </w:tcPr>
          <w:p w14:paraId="131C74C8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14:paraId="45B8E051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60826997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14:paraId="0619A611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1049658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6" w:type="dxa"/>
          </w:tcPr>
          <w:p w14:paraId="6040DD84" w14:textId="77777777" w:rsidR="003E6C82" w:rsidRPr="000C365A" w:rsidRDefault="003E6C82" w:rsidP="003E6C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C365A">
              <w:rPr>
                <w:rFonts w:ascii="Century Gothic" w:hAnsi="Century Gothic"/>
                <w:sz w:val="20"/>
                <w:szCs w:val="20"/>
                <w:u w:val="single"/>
              </w:rPr>
              <w:t>End of</w:t>
            </w:r>
            <w:r w:rsidR="00275C3C" w:rsidRPr="000C365A">
              <w:rPr>
                <w:rFonts w:ascii="Century Gothic" w:hAnsi="Century Gothic"/>
                <w:sz w:val="20"/>
                <w:szCs w:val="20"/>
                <w:u w:val="single"/>
              </w:rPr>
              <w:t xml:space="preserve"> year review – Year 2 (July 2023</w:t>
            </w:r>
            <w:r w:rsidRPr="000C365A">
              <w:rPr>
                <w:rFonts w:ascii="Century Gothic" w:hAnsi="Century Gothic"/>
                <w:sz w:val="20"/>
                <w:szCs w:val="20"/>
                <w:u w:val="single"/>
              </w:rPr>
              <w:t>)</w:t>
            </w:r>
          </w:p>
          <w:p w14:paraId="48088256" w14:textId="33BBB58A" w:rsidR="0032495E" w:rsidRPr="007803E9" w:rsidRDefault="00BC29CB" w:rsidP="003E6C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teaching of protected characteristics has been identified from FS1-Y6</w:t>
            </w:r>
            <w:r w:rsidR="006014DA">
              <w:rPr>
                <w:rFonts w:ascii="Century Gothic" w:hAnsi="Century Gothic"/>
                <w:sz w:val="20"/>
                <w:szCs w:val="20"/>
              </w:rPr>
              <w:t xml:space="preserve"> and collated in a mapping document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32495E">
              <w:rPr>
                <w:rFonts w:ascii="Century Gothic" w:hAnsi="Century Gothic"/>
                <w:sz w:val="20"/>
                <w:szCs w:val="20"/>
              </w:rPr>
              <w:t>Assemblies have been reviewed and the links between the content and the protected characteristics has now been made</w:t>
            </w:r>
            <w:r w:rsidR="006014DA">
              <w:rPr>
                <w:rFonts w:ascii="Century Gothic" w:hAnsi="Century Gothic"/>
                <w:sz w:val="20"/>
                <w:szCs w:val="20"/>
              </w:rPr>
              <w:t>, which is also made explicit to the children</w:t>
            </w:r>
            <w:r w:rsidR="0032495E">
              <w:rPr>
                <w:rFonts w:ascii="Century Gothic" w:hAnsi="Century Gothic"/>
                <w:sz w:val="20"/>
                <w:szCs w:val="20"/>
              </w:rPr>
              <w:t>.  This will be continued next year including pupil voice around protected characteristics.</w:t>
            </w:r>
          </w:p>
        </w:tc>
      </w:tr>
      <w:tr w:rsidR="003E6C82" w:rsidRPr="007803E9" w14:paraId="43784E5E" w14:textId="77777777" w:rsidTr="00C30CFF">
        <w:trPr>
          <w:trHeight w:val="450"/>
        </w:trPr>
        <w:tc>
          <w:tcPr>
            <w:tcW w:w="3347" w:type="dxa"/>
            <w:vMerge/>
          </w:tcPr>
          <w:p w14:paraId="1D27CF63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14:paraId="1B4BBBD8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43720DC2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14:paraId="09869F7A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CA0B030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6" w:type="dxa"/>
          </w:tcPr>
          <w:p w14:paraId="0B93E301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End of</w:t>
            </w:r>
            <w:r w:rsidR="00275C3C" w:rsidRPr="007803E9">
              <w:rPr>
                <w:rFonts w:ascii="Century Gothic" w:hAnsi="Century Gothic"/>
                <w:sz w:val="20"/>
                <w:szCs w:val="20"/>
              </w:rPr>
              <w:t xml:space="preserve"> year review – Year 3 (July 2024</w:t>
            </w:r>
            <w:r w:rsidRPr="007803E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3E6C82" w:rsidRPr="007803E9" w14:paraId="22D1778C" w14:textId="77777777" w:rsidTr="00C30CFF">
        <w:trPr>
          <w:trHeight w:val="410"/>
        </w:trPr>
        <w:tc>
          <w:tcPr>
            <w:tcW w:w="3347" w:type="dxa"/>
            <w:vMerge/>
          </w:tcPr>
          <w:p w14:paraId="79633E0B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14:paraId="6F501A4A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6F0D711B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14:paraId="71B90C1F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312F014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6" w:type="dxa"/>
          </w:tcPr>
          <w:p w14:paraId="689121FB" w14:textId="77777777" w:rsidR="003E6C82" w:rsidRPr="007803E9" w:rsidRDefault="003E6C82" w:rsidP="003E6C82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Fina</w:t>
            </w:r>
            <w:r w:rsidR="00275C3C" w:rsidRPr="007803E9">
              <w:rPr>
                <w:rFonts w:ascii="Century Gothic" w:hAnsi="Century Gothic"/>
                <w:sz w:val="20"/>
                <w:szCs w:val="20"/>
              </w:rPr>
              <w:t>l evaluation – Year 4 (July 2025</w:t>
            </w:r>
            <w:r w:rsidRPr="007803E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7DB04701" w14:textId="7119365A" w:rsidR="005B7551" w:rsidRDefault="005B7551">
      <w:pPr>
        <w:rPr>
          <w:rFonts w:ascii="Century Gothic" w:hAnsi="Century Gothic"/>
          <w:sz w:val="20"/>
          <w:szCs w:val="20"/>
        </w:rPr>
      </w:pPr>
    </w:p>
    <w:p w14:paraId="6F4719EC" w14:textId="15BA5D0F" w:rsidR="005B7551" w:rsidRDefault="005B7551">
      <w:pPr>
        <w:rPr>
          <w:rFonts w:ascii="Century Gothic" w:hAnsi="Century Gothic"/>
          <w:sz w:val="20"/>
          <w:szCs w:val="20"/>
        </w:rPr>
      </w:pPr>
    </w:p>
    <w:p w14:paraId="2990D8B3" w14:textId="3FE3966C" w:rsidR="005B7551" w:rsidRDefault="005B7551">
      <w:pPr>
        <w:rPr>
          <w:rFonts w:ascii="Century Gothic" w:hAnsi="Century Gothic"/>
          <w:sz w:val="20"/>
          <w:szCs w:val="20"/>
        </w:rPr>
      </w:pPr>
    </w:p>
    <w:p w14:paraId="190E7ADD" w14:textId="5B8C2AA7" w:rsidR="005B7551" w:rsidRDefault="005B7551">
      <w:pPr>
        <w:rPr>
          <w:rFonts w:ascii="Century Gothic" w:hAnsi="Century Gothic"/>
          <w:sz w:val="20"/>
          <w:szCs w:val="20"/>
        </w:rPr>
      </w:pPr>
    </w:p>
    <w:p w14:paraId="2B4D359E" w14:textId="4C0EA5EB" w:rsidR="005B7551" w:rsidRDefault="005B755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3109"/>
        <w:gridCol w:w="1294"/>
        <w:gridCol w:w="892"/>
        <w:gridCol w:w="2552"/>
        <w:gridCol w:w="3366"/>
      </w:tblGrid>
      <w:tr w:rsidR="005B7551" w:rsidRPr="007803E9" w14:paraId="264C0B62" w14:textId="77777777" w:rsidTr="004E205C">
        <w:tc>
          <w:tcPr>
            <w:tcW w:w="3347" w:type="dxa"/>
            <w:shd w:val="clear" w:color="auto" w:fill="5B9BD5" w:themeFill="accent1"/>
          </w:tcPr>
          <w:p w14:paraId="43CE5BD8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Objective</w:t>
            </w:r>
          </w:p>
        </w:tc>
        <w:tc>
          <w:tcPr>
            <w:tcW w:w="3109" w:type="dxa"/>
            <w:shd w:val="clear" w:color="auto" w:fill="5B9BD5" w:themeFill="accent1"/>
          </w:tcPr>
          <w:p w14:paraId="5EA64FEC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Action</w:t>
            </w:r>
          </w:p>
        </w:tc>
        <w:tc>
          <w:tcPr>
            <w:tcW w:w="1294" w:type="dxa"/>
            <w:shd w:val="clear" w:color="auto" w:fill="5B9BD5" w:themeFill="accent1"/>
          </w:tcPr>
          <w:p w14:paraId="2D550480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When</w:t>
            </w:r>
          </w:p>
        </w:tc>
        <w:tc>
          <w:tcPr>
            <w:tcW w:w="892" w:type="dxa"/>
            <w:shd w:val="clear" w:color="auto" w:fill="5B9BD5" w:themeFill="accent1"/>
          </w:tcPr>
          <w:p w14:paraId="319A6E54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Who</w:t>
            </w:r>
          </w:p>
        </w:tc>
        <w:tc>
          <w:tcPr>
            <w:tcW w:w="2552" w:type="dxa"/>
            <w:shd w:val="clear" w:color="auto" w:fill="5B9BD5" w:themeFill="accent1"/>
          </w:tcPr>
          <w:p w14:paraId="0C875F77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Measure</w:t>
            </w:r>
          </w:p>
        </w:tc>
        <w:tc>
          <w:tcPr>
            <w:tcW w:w="3366" w:type="dxa"/>
            <w:shd w:val="clear" w:color="auto" w:fill="5B9BD5" w:themeFill="accent1"/>
          </w:tcPr>
          <w:p w14:paraId="40660EA1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Outcome/impact</w:t>
            </w:r>
          </w:p>
        </w:tc>
      </w:tr>
      <w:tr w:rsidR="005B7551" w:rsidRPr="00F516B5" w14:paraId="64E66BFA" w14:textId="77777777" w:rsidTr="004E205C">
        <w:trPr>
          <w:trHeight w:val="285"/>
        </w:trPr>
        <w:tc>
          <w:tcPr>
            <w:tcW w:w="3347" w:type="dxa"/>
            <w:vMerge w:val="restart"/>
          </w:tcPr>
          <w:p w14:paraId="6EA0E2CD" w14:textId="7D008607" w:rsidR="005B7551" w:rsidRPr="007803E9" w:rsidRDefault="005B7551" w:rsidP="004E205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803E9">
              <w:rPr>
                <w:rFonts w:ascii="Century Gothic" w:hAnsi="Century Gothic"/>
                <w:i/>
                <w:sz w:val="20"/>
                <w:szCs w:val="20"/>
              </w:rPr>
              <w:t>Dale Community Primary School</w:t>
            </w:r>
          </w:p>
          <w:p w14:paraId="2D29D2FA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8F8814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 xml:space="preserve">Increase the number of pupils with SEND participating in extra-curricular sports activities </w:t>
            </w:r>
          </w:p>
        </w:tc>
        <w:tc>
          <w:tcPr>
            <w:tcW w:w="3109" w:type="dxa"/>
            <w:vMerge w:val="restart"/>
          </w:tcPr>
          <w:p w14:paraId="75643723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Actively encourage pupils with SEND to attend after school clubs</w:t>
            </w:r>
          </w:p>
          <w:p w14:paraId="20A42BAF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2C96B0" w14:textId="77777777" w:rsidR="005B7551" w:rsidRPr="007803E9" w:rsidRDefault="005B7551" w:rsidP="004E205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 xml:space="preserve">Register for ‘plus’ events </w:t>
            </w:r>
            <w:r w:rsidRPr="007803E9">
              <w:rPr>
                <w:rFonts w:ascii="Century Gothic" w:hAnsi="Century Gothic"/>
                <w:i/>
                <w:sz w:val="20"/>
                <w:szCs w:val="20"/>
              </w:rPr>
              <w:t>(when COVID restrictions are lifted)</w:t>
            </w:r>
          </w:p>
          <w:p w14:paraId="2A9DCE08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F5D88F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 xml:space="preserve">Actively encourage pupils to participate in competitive events </w:t>
            </w:r>
            <w:r w:rsidRPr="007803E9">
              <w:rPr>
                <w:rFonts w:ascii="Century Gothic" w:hAnsi="Century Gothic"/>
                <w:i/>
                <w:sz w:val="20"/>
                <w:szCs w:val="20"/>
              </w:rPr>
              <w:t>(when COVID restrictions are lifted)</w:t>
            </w:r>
          </w:p>
        </w:tc>
        <w:tc>
          <w:tcPr>
            <w:tcW w:w="1294" w:type="dxa"/>
            <w:vMerge w:val="restart"/>
          </w:tcPr>
          <w:p w14:paraId="2C819CA6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By July 2024 (review annually)</w:t>
            </w:r>
          </w:p>
          <w:p w14:paraId="036356B7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025CC3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D53BF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7294FD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Monitor termly as part of the Sports Premium action plan</w:t>
            </w:r>
          </w:p>
        </w:tc>
        <w:tc>
          <w:tcPr>
            <w:tcW w:w="892" w:type="dxa"/>
            <w:vMerge w:val="restart"/>
          </w:tcPr>
          <w:p w14:paraId="50CA7624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Sports Team</w:t>
            </w:r>
          </w:p>
        </w:tc>
        <w:tc>
          <w:tcPr>
            <w:tcW w:w="2552" w:type="dxa"/>
            <w:vMerge w:val="restart"/>
          </w:tcPr>
          <w:p w14:paraId="18AEAE52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 xml:space="preserve">Increase the number of SEND pupils taking part in after school clubs </w:t>
            </w:r>
          </w:p>
          <w:p w14:paraId="006242B5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6" w:type="dxa"/>
          </w:tcPr>
          <w:p w14:paraId="54A5C5BC" w14:textId="77777777" w:rsidR="005B7551" w:rsidRPr="00F516B5" w:rsidRDefault="005B7551" w:rsidP="004E205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516B5">
              <w:rPr>
                <w:rFonts w:ascii="Century Gothic" w:hAnsi="Century Gothic"/>
                <w:sz w:val="20"/>
                <w:szCs w:val="20"/>
                <w:u w:val="single"/>
              </w:rPr>
              <w:t>End of year review – Year 1 (July 2022)</w:t>
            </w:r>
          </w:p>
          <w:p w14:paraId="769FAF09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SEND festivals were attended due to COVID-19.</w:t>
            </w:r>
          </w:p>
          <w:p w14:paraId="29B9E8B9" w14:textId="525DA039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SEND pupils have attended additional swimming sessions.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1082"/>
              <w:gridCol w:w="1140"/>
            </w:tblGrid>
            <w:tr w:rsidR="005B7551" w:rsidRPr="00207E0C" w14:paraId="0792B158" w14:textId="77777777" w:rsidTr="004E205C">
              <w:tc>
                <w:tcPr>
                  <w:tcW w:w="918" w:type="dxa"/>
                  <w:hideMark/>
                </w:tcPr>
                <w:p w14:paraId="5C21C2D8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082" w:type="dxa"/>
                  <w:hideMark/>
                </w:tcPr>
                <w:p w14:paraId="163CB6CE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How many children attended in total (2022-23)</w:t>
                  </w:r>
                </w:p>
              </w:tc>
              <w:tc>
                <w:tcPr>
                  <w:tcW w:w="1140" w:type="dxa"/>
                  <w:hideMark/>
                </w:tcPr>
                <w:p w14:paraId="323DCA9D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How many of these children are on the SEND register (2022-23)</w:t>
                  </w:r>
                </w:p>
              </w:tc>
            </w:tr>
            <w:tr w:rsidR="005B7551" w:rsidRPr="00207E0C" w14:paraId="1888AB3B" w14:textId="77777777" w:rsidTr="004E205C">
              <w:tc>
                <w:tcPr>
                  <w:tcW w:w="918" w:type="dxa"/>
                  <w:hideMark/>
                </w:tcPr>
                <w:p w14:paraId="21AA3B50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After school clubs</w:t>
                  </w:r>
                </w:p>
              </w:tc>
              <w:tc>
                <w:tcPr>
                  <w:tcW w:w="1082" w:type="dxa"/>
                  <w:hideMark/>
                </w:tcPr>
                <w:p w14:paraId="1AB22456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 </w:t>
                  </w:r>
                  <w: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104</w:t>
                  </w:r>
                </w:p>
              </w:tc>
              <w:tc>
                <w:tcPr>
                  <w:tcW w:w="1140" w:type="dxa"/>
                  <w:hideMark/>
                </w:tcPr>
                <w:p w14:paraId="3F28BA87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 </w:t>
                  </w:r>
                  <w: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4%</w:t>
                  </w:r>
                </w:p>
              </w:tc>
            </w:tr>
          </w:tbl>
          <w:p w14:paraId="4E1DB646" w14:textId="77777777" w:rsidR="005B7551" w:rsidRPr="00F516B5" w:rsidRDefault="005B7551" w:rsidP="004E205C"/>
        </w:tc>
      </w:tr>
      <w:tr w:rsidR="005B7551" w:rsidRPr="007803E9" w14:paraId="264AC1E9" w14:textId="77777777" w:rsidTr="004E205C">
        <w:trPr>
          <w:trHeight w:val="255"/>
        </w:trPr>
        <w:tc>
          <w:tcPr>
            <w:tcW w:w="3347" w:type="dxa"/>
            <w:vMerge/>
          </w:tcPr>
          <w:p w14:paraId="76C939C6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14:paraId="20BA469C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53394E2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14:paraId="46E35D25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B793361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6" w:type="dxa"/>
          </w:tcPr>
          <w:p w14:paraId="13B4C909" w14:textId="6CD8969A" w:rsidR="005B7551" w:rsidRPr="000C365A" w:rsidRDefault="005B7551" w:rsidP="004E205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0C365A">
              <w:rPr>
                <w:rFonts w:ascii="Century Gothic" w:hAnsi="Century Gothic"/>
                <w:sz w:val="20"/>
                <w:szCs w:val="20"/>
                <w:u w:val="single"/>
              </w:rPr>
              <w:t>End of year review – Year 2 (July 2023)</w:t>
            </w:r>
          </w:p>
          <w:p w14:paraId="19912BF9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Pupils with SEND have continue to attend additional swimming sessions.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1082"/>
              <w:gridCol w:w="1140"/>
            </w:tblGrid>
            <w:tr w:rsidR="005B7551" w:rsidRPr="00207E0C" w14:paraId="6D30F7A6" w14:textId="77777777" w:rsidTr="004E205C">
              <w:tc>
                <w:tcPr>
                  <w:tcW w:w="1271" w:type="dxa"/>
                  <w:hideMark/>
                </w:tcPr>
                <w:p w14:paraId="7150B0CB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14:paraId="3F9B4492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How many children attended in total (2022-23)</w:t>
                  </w:r>
                </w:p>
              </w:tc>
              <w:tc>
                <w:tcPr>
                  <w:tcW w:w="1843" w:type="dxa"/>
                  <w:hideMark/>
                </w:tcPr>
                <w:p w14:paraId="42A27360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How many of these children are on the SEND register (2022-23)</w:t>
                  </w:r>
                </w:p>
              </w:tc>
            </w:tr>
            <w:tr w:rsidR="005B7551" w:rsidRPr="00207E0C" w14:paraId="3B55EF95" w14:textId="77777777" w:rsidTr="004E205C">
              <w:tc>
                <w:tcPr>
                  <w:tcW w:w="1271" w:type="dxa"/>
                  <w:hideMark/>
                </w:tcPr>
                <w:p w14:paraId="0A9989FA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After school clubs</w:t>
                  </w:r>
                </w:p>
              </w:tc>
              <w:tc>
                <w:tcPr>
                  <w:tcW w:w="1559" w:type="dxa"/>
                  <w:hideMark/>
                </w:tcPr>
                <w:p w14:paraId="3F4EFA3C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 123</w:t>
                  </w:r>
                </w:p>
              </w:tc>
              <w:tc>
                <w:tcPr>
                  <w:tcW w:w="1843" w:type="dxa"/>
                  <w:hideMark/>
                </w:tcPr>
                <w:p w14:paraId="53E2B566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 8%</w:t>
                  </w:r>
                </w:p>
              </w:tc>
            </w:tr>
            <w:tr w:rsidR="005B7551" w:rsidRPr="00207E0C" w14:paraId="114A9D18" w14:textId="77777777" w:rsidTr="004E205C">
              <w:tc>
                <w:tcPr>
                  <w:tcW w:w="1271" w:type="dxa"/>
                  <w:hideMark/>
                </w:tcPr>
                <w:p w14:paraId="6AD505B0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>Sporting</w:t>
                  </w:r>
                  <w:r w:rsidRPr="00207E0C">
                    <w:rPr>
                      <w:rFonts w:ascii="Century Gothic" w:eastAsia="Times New Roman" w:hAnsi="Century Gothic" w:cs="Calibri"/>
                      <w:color w:val="242424"/>
                      <w:sz w:val="12"/>
                      <w:szCs w:val="12"/>
                      <w:lang w:eastAsia="en-GB"/>
                    </w:rPr>
                    <w:t xml:space="preserve"> events</w:t>
                  </w:r>
                </w:p>
              </w:tc>
              <w:tc>
                <w:tcPr>
                  <w:tcW w:w="1559" w:type="dxa"/>
                  <w:hideMark/>
                </w:tcPr>
                <w:p w14:paraId="0948139F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Times New Roman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Times New Roman"/>
                      <w:sz w:val="12"/>
                      <w:szCs w:val="12"/>
                      <w:lang w:eastAsia="en-GB"/>
                    </w:rPr>
                    <w:t xml:space="preserve"> 22</w:t>
                  </w:r>
                </w:p>
              </w:tc>
              <w:tc>
                <w:tcPr>
                  <w:tcW w:w="1843" w:type="dxa"/>
                  <w:hideMark/>
                </w:tcPr>
                <w:p w14:paraId="2D2576C8" w14:textId="77777777" w:rsidR="005B7551" w:rsidRPr="00207E0C" w:rsidRDefault="005B7551" w:rsidP="004E205C">
                  <w:pPr>
                    <w:rPr>
                      <w:rFonts w:ascii="Century Gothic" w:eastAsia="Times New Roman" w:hAnsi="Century Gothic" w:cs="Times New Roman"/>
                      <w:sz w:val="12"/>
                      <w:szCs w:val="12"/>
                      <w:lang w:eastAsia="en-GB"/>
                    </w:rPr>
                  </w:pPr>
                  <w:r w:rsidRPr="00207E0C">
                    <w:rPr>
                      <w:rFonts w:ascii="Century Gothic" w:eastAsia="Times New Roman" w:hAnsi="Century Gothic" w:cs="Times New Roman"/>
                      <w:sz w:val="12"/>
                      <w:szCs w:val="12"/>
                      <w:lang w:eastAsia="en-GB"/>
                    </w:rPr>
                    <w:t xml:space="preserve"> 9%</w:t>
                  </w:r>
                </w:p>
              </w:tc>
            </w:tr>
          </w:tbl>
          <w:p w14:paraId="76794B4D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7551" w:rsidRPr="007803E9" w14:paraId="62E36BBC" w14:textId="77777777" w:rsidTr="004E205C">
        <w:trPr>
          <w:trHeight w:val="270"/>
        </w:trPr>
        <w:tc>
          <w:tcPr>
            <w:tcW w:w="3347" w:type="dxa"/>
            <w:vMerge/>
          </w:tcPr>
          <w:p w14:paraId="1CFDC1B7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14:paraId="4DFD5A8D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B87C198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14:paraId="721AAD0C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46D947B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6" w:type="dxa"/>
          </w:tcPr>
          <w:p w14:paraId="7AE5F48B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End of year review – Year 3 (July 2024)</w:t>
            </w:r>
          </w:p>
        </w:tc>
      </w:tr>
      <w:tr w:rsidR="005B7551" w:rsidRPr="007803E9" w14:paraId="5B7CAFCB" w14:textId="77777777" w:rsidTr="004E205C">
        <w:trPr>
          <w:trHeight w:val="375"/>
        </w:trPr>
        <w:tc>
          <w:tcPr>
            <w:tcW w:w="3347" w:type="dxa"/>
            <w:vMerge/>
          </w:tcPr>
          <w:p w14:paraId="49A8F339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14:paraId="7187A912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7C6E0FCC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14:paraId="2560F37B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3697E98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6" w:type="dxa"/>
          </w:tcPr>
          <w:p w14:paraId="512A3694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Final evaluation – Year 4 (July 2025)</w:t>
            </w:r>
          </w:p>
        </w:tc>
      </w:tr>
    </w:tbl>
    <w:p w14:paraId="2CF6F63F" w14:textId="5970EB64" w:rsidR="00207E0C" w:rsidRDefault="005B75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F516B5">
        <w:rPr>
          <w:rFonts w:ascii="Century Gothic" w:hAnsi="Century Gothic"/>
          <w:sz w:val="20"/>
          <w:szCs w:val="20"/>
        </w:rPr>
        <w:br w:type="page"/>
      </w:r>
    </w:p>
    <w:p w14:paraId="68676B6B" w14:textId="77777777" w:rsidR="00207E0C" w:rsidRDefault="00207E0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188"/>
        <w:gridCol w:w="1080"/>
        <w:gridCol w:w="2409"/>
        <w:gridCol w:w="3792"/>
      </w:tblGrid>
      <w:tr w:rsidR="00F516B5" w:rsidRPr="007803E9" w14:paraId="62F023C6" w14:textId="77777777" w:rsidTr="00452F53">
        <w:tc>
          <w:tcPr>
            <w:tcW w:w="2972" w:type="dxa"/>
            <w:shd w:val="clear" w:color="auto" w:fill="5B9BD5" w:themeFill="accent1"/>
          </w:tcPr>
          <w:p w14:paraId="7B1A6592" w14:textId="77777777" w:rsidR="00F516B5" w:rsidRPr="007803E9" w:rsidRDefault="00F516B5" w:rsidP="00A21A9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Objective</w:t>
            </w:r>
          </w:p>
        </w:tc>
        <w:tc>
          <w:tcPr>
            <w:tcW w:w="3119" w:type="dxa"/>
            <w:shd w:val="clear" w:color="auto" w:fill="5B9BD5" w:themeFill="accent1"/>
          </w:tcPr>
          <w:p w14:paraId="3EB78521" w14:textId="77777777" w:rsidR="00F516B5" w:rsidRPr="007803E9" w:rsidRDefault="00F516B5" w:rsidP="00A21A9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Action</w:t>
            </w:r>
          </w:p>
        </w:tc>
        <w:tc>
          <w:tcPr>
            <w:tcW w:w="1188" w:type="dxa"/>
            <w:shd w:val="clear" w:color="auto" w:fill="5B9BD5" w:themeFill="accent1"/>
          </w:tcPr>
          <w:p w14:paraId="217B1CD4" w14:textId="77777777" w:rsidR="00F516B5" w:rsidRPr="007803E9" w:rsidRDefault="00F516B5" w:rsidP="00A21A9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When</w:t>
            </w:r>
          </w:p>
        </w:tc>
        <w:tc>
          <w:tcPr>
            <w:tcW w:w="1080" w:type="dxa"/>
            <w:shd w:val="clear" w:color="auto" w:fill="5B9BD5" w:themeFill="accent1"/>
          </w:tcPr>
          <w:p w14:paraId="0B0DC2B1" w14:textId="77777777" w:rsidR="00F516B5" w:rsidRPr="007803E9" w:rsidRDefault="00F516B5" w:rsidP="00A21A9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Who</w:t>
            </w:r>
          </w:p>
        </w:tc>
        <w:tc>
          <w:tcPr>
            <w:tcW w:w="2409" w:type="dxa"/>
            <w:shd w:val="clear" w:color="auto" w:fill="5B9BD5" w:themeFill="accent1"/>
          </w:tcPr>
          <w:p w14:paraId="29F2B354" w14:textId="77777777" w:rsidR="00F516B5" w:rsidRPr="007803E9" w:rsidRDefault="00F516B5" w:rsidP="00A21A9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Measure</w:t>
            </w:r>
          </w:p>
        </w:tc>
        <w:tc>
          <w:tcPr>
            <w:tcW w:w="3792" w:type="dxa"/>
            <w:shd w:val="clear" w:color="auto" w:fill="5B9BD5" w:themeFill="accent1"/>
          </w:tcPr>
          <w:p w14:paraId="5ED66BBD" w14:textId="77777777" w:rsidR="00F516B5" w:rsidRPr="007803E9" w:rsidRDefault="00F516B5" w:rsidP="00A21A9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Outcome/impact</w:t>
            </w:r>
          </w:p>
        </w:tc>
      </w:tr>
      <w:tr w:rsidR="00F516B5" w:rsidRPr="007803E9" w14:paraId="58B6B714" w14:textId="77777777" w:rsidTr="00452F53">
        <w:trPr>
          <w:trHeight w:val="60"/>
        </w:trPr>
        <w:tc>
          <w:tcPr>
            <w:tcW w:w="2972" w:type="dxa"/>
            <w:vMerge w:val="restart"/>
          </w:tcPr>
          <w:p w14:paraId="31995545" w14:textId="77777777" w:rsidR="00F516B5" w:rsidRPr="007803E9" w:rsidRDefault="00F516B5" w:rsidP="00A21A9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803E9">
              <w:rPr>
                <w:rFonts w:ascii="Century Gothic" w:hAnsi="Century Gothic"/>
                <w:i/>
                <w:sz w:val="20"/>
                <w:szCs w:val="20"/>
              </w:rPr>
              <w:t>Dale Community Primary School</w:t>
            </w:r>
          </w:p>
          <w:p w14:paraId="626918F2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EEF6CB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Reduce the number of persistent absentees for pupils with EHCPs so that it is in line with national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average</w:t>
            </w:r>
          </w:p>
          <w:p w14:paraId="0E7EC5C1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754845" w14:textId="77777777" w:rsidR="00F516B5" w:rsidRDefault="00F516B5" w:rsidP="00A21A9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803E9">
              <w:rPr>
                <w:rFonts w:ascii="Century Gothic" w:hAnsi="Century Gothic"/>
                <w:i/>
                <w:sz w:val="20"/>
                <w:szCs w:val="20"/>
              </w:rPr>
              <w:t>(2018-19 ASP Dale EHCP persistent absence 23.1%, national EHCP persistent absence 19.8%)</w:t>
            </w:r>
          </w:p>
          <w:p w14:paraId="1E6239AA" w14:textId="3F506A25" w:rsidR="00F516B5" w:rsidRDefault="00F516B5" w:rsidP="00A21A9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605"/>
              <w:gridCol w:w="605"/>
              <w:gridCol w:w="605"/>
            </w:tblGrid>
            <w:tr w:rsidR="00452F53" w:rsidRPr="00090852" w14:paraId="0959BC3F" w14:textId="65A7C8D9" w:rsidTr="00452F53">
              <w:trPr>
                <w:cantSplit/>
                <w:trHeight w:val="1134"/>
              </w:trPr>
              <w:tc>
                <w:tcPr>
                  <w:tcW w:w="931" w:type="dxa"/>
                </w:tcPr>
                <w:p w14:paraId="6222C757" w14:textId="0C92E765" w:rsidR="00452F53" w:rsidRPr="00090852" w:rsidRDefault="00452F53" w:rsidP="006D463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2018-19</w:t>
                  </w:r>
                </w:p>
              </w:tc>
              <w:tc>
                <w:tcPr>
                  <w:tcW w:w="605" w:type="dxa"/>
                  <w:textDirection w:val="btLr"/>
                </w:tcPr>
                <w:p w14:paraId="6B464E10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National</w:t>
                  </w:r>
                </w:p>
              </w:tc>
              <w:tc>
                <w:tcPr>
                  <w:tcW w:w="605" w:type="dxa"/>
                  <w:textDirection w:val="btLr"/>
                </w:tcPr>
                <w:p w14:paraId="032DA684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Dale</w:t>
                  </w:r>
                </w:p>
              </w:tc>
              <w:tc>
                <w:tcPr>
                  <w:tcW w:w="605" w:type="dxa"/>
                  <w:textDirection w:val="btLr"/>
                </w:tcPr>
                <w:p w14:paraId="70D12577" w14:textId="040FDDAB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Gap</w:t>
                  </w:r>
                </w:p>
              </w:tc>
            </w:tr>
            <w:tr w:rsidR="00452F53" w:rsidRPr="00090852" w14:paraId="39800DCE" w14:textId="32C4602B" w:rsidTr="00452F53">
              <w:tc>
                <w:tcPr>
                  <w:tcW w:w="931" w:type="dxa"/>
                </w:tcPr>
                <w:p w14:paraId="52976965" w14:textId="77777777" w:rsidR="00452F53" w:rsidRPr="00090852" w:rsidRDefault="00452F53" w:rsidP="006D4638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Persistent absence</w:t>
                  </w:r>
                </w:p>
              </w:tc>
              <w:tc>
                <w:tcPr>
                  <w:tcW w:w="605" w:type="dxa"/>
                </w:tcPr>
                <w:p w14:paraId="15B3347B" w14:textId="24AF6F16" w:rsidR="00452F53" w:rsidRPr="00090852" w:rsidRDefault="00452F53" w:rsidP="006D4638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19.8%</w:t>
                  </w:r>
                </w:p>
              </w:tc>
              <w:tc>
                <w:tcPr>
                  <w:tcW w:w="605" w:type="dxa"/>
                </w:tcPr>
                <w:p w14:paraId="16F11359" w14:textId="15CC0542" w:rsidR="00452F53" w:rsidRPr="00090852" w:rsidRDefault="00452F53" w:rsidP="006D4638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23.1%</w:t>
                  </w:r>
                </w:p>
              </w:tc>
              <w:tc>
                <w:tcPr>
                  <w:tcW w:w="605" w:type="dxa"/>
                </w:tcPr>
                <w:p w14:paraId="32AA23AB" w14:textId="168D1477" w:rsidR="00452F53" w:rsidRDefault="00452F53" w:rsidP="006D4638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3.3%</w:t>
                  </w:r>
                </w:p>
              </w:tc>
            </w:tr>
          </w:tbl>
          <w:p w14:paraId="0B04F5D2" w14:textId="77777777" w:rsidR="006D4638" w:rsidRDefault="006D4638" w:rsidP="00A21A9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94AE3E2" w14:textId="77777777" w:rsidR="00F516B5" w:rsidRPr="007803E9" w:rsidRDefault="00F516B5" w:rsidP="00A21A9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091526A1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Half termly attendance analysis of data for pupils with EHCPs</w:t>
            </w:r>
          </w:p>
          <w:p w14:paraId="0B779395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656B3D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When appropriate, meetings with parents</w:t>
            </w:r>
          </w:p>
          <w:p w14:paraId="1ECFA7CD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65367F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 xml:space="preserve">Regular attendance celebrations </w:t>
            </w:r>
          </w:p>
        </w:tc>
        <w:tc>
          <w:tcPr>
            <w:tcW w:w="1188" w:type="dxa"/>
            <w:vMerge w:val="restart"/>
          </w:tcPr>
          <w:p w14:paraId="08E86382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By July 2024 (review annually)</w:t>
            </w:r>
          </w:p>
        </w:tc>
        <w:tc>
          <w:tcPr>
            <w:tcW w:w="1080" w:type="dxa"/>
            <w:vMerge w:val="restart"/>
          </w:tcPr>
          <w:p w14:paraId="563E1CA3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AB</w:t>
            </w:r>
          </w:p>
        </w:tc>
        <w:tc>
          <w:tcPr>
            <w:tcW w:w="2409" w:type="dxa"/>
            <w:vMerge w:val="restart"/>
          </w:tcPr>
          <w:p w14:paraId="27DD6BB6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Reduce the number of persistent absences so that it is in line with national or lower</w:t>
            </w:r>
          </w:p>
        </w:tc>
        <w:tc>
          <w:tcPr>
            <w:tcW w:w="3792" w:type="dxa"/>
          </w:tcPr>
          <w:p w14:paraId="3F0C9CA2" w14:textId="2E4CE644" w:rsidR="00452F53" w:rsidRPr="00452F53" w:rsidRDefault="00F516B5" w:rsidP="00A21A9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516B5">
              <w:rPr>
                <w:rFonts w:ascii="Century Gothic" w:hAnsi="Century Gothic"/>
                <w:sz w:val="20"/>
                <w:szCs w:val="20"/>
                <w:u w:val="single"/>
              </w:rPr>
              <w:t>End of year review – Year 1 (July 2022)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737"/>
              <w:gridCol w:w="737"/>
              <w:gridCol w:w="737"/>
            </w:tblGrid>
            <w:tr w:rsidR="00452F53" w:rsidRPr="00090852" w14:paraId="356BEC50" w14:textId="77777777" w:rsidTr="00452F53">
              <w:trPr>
                <w:cantSplit/>
                <w:trHeight w:val="1134"/>
              </w:trPr>
              <w:tc>
                <w:tcPr>
                  <w:tcW w:w="934" w:type="dxa"/>
                </w:tcPr>
                <w:p w14:paraId="788B9464" w14:textId="77777777" w:rsidR="00452F53" w:rsidRDefault="00452F53" w:rsidP="00452F5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25814A0" w14:textId="36BFD643" w:rsidR="00452F53" w:rsidRPr="00090852" w:rsidRDefault="00452F53" w:rsidP="00452F5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extDirection w:val="btLr"/>
                </w:tcPr>
                <w:p w14:paraId="181C2FF2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National</w:t>
                  </w:r>
                </w:p>
              </w:tc>
              <w:tc>
                <w:tcPr>
                  <w:tcW w:w="737" w:type="dxa"/>
                  <w:textDirection w:val="btLr"/>
                </w:tcPr>
                <w:p w14:paraId="0C680706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Dale</w:t>
                  </w:r>
                </w:p>
              </w:tc>
              <w:tc>
                <w:tcPr>
                  <w:tcW w:w="737" w:type="dxa"/>
                  <w:textDirection w:val="btLr"/>
                </w:tcPr>
                <w:p w14:paraId="0DE215D3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Gap</w:t>
                  </w:r>
                </w:p>
              </w:tc>
            </w:tr>
            <w:tr w:rsidR="00452F53" w14:paraId="7DEC7E11" w14:textId="77777777" w:rsidTr="00452F53">
              <w:tc>
                <w:tcPr>
                  <w:tcW w:w="934" w:type="dxa"/>
                </w:tcPr>
                <w:p w14:paraId="0855766F" w14:textId="77777777" w:rsidR="00452F53" w:rsidRPr="00090852" w:rsidRDefault="00452F53" w:rsidP="00452F5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Persistent absence</w:t>
                  </w:r>
                </w:p>
              </w:tc>
              <w:tc>
                <w:tcPr>
                  <w:tcW w:w="737" w:type="dxa"/>
                </w:tcPr>
                <w:p w14:paraId="51AD2ABC" w14:textId="157CC464" w:rsidR="00452F53" w:rsidRPr="00090852" w:rsidRDefault="00452F53" w:rsidP="00452F53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31.3%</w:t>
                  </w:r>
                </w:p>
              </w:tc>
              <w:tc>
                <w:tcPr>
                  <w:tcW w:w="737" w:type="dxa"/>
                </w:tcPr>
                <w:p w14:paraId="7B4D40CA" w14:textId="59D1A42D" w:rsidR="00452F53" w:rsidRPr="00090852" w:rsidRDefault="00452F53" w:rsidP="00452F53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35.3%</w:t>
                  </w:r>
                </w:p>
              </w:tc>
              <w:tc>
                <w:tcPr>
                  <w:tcW w:w="737" w:type="dxa"/>
                </w:tcPr>
                <w:p w14:paraId="5DBB850F" w14:textId="47AA19E6" w:rsidR="00452F53" w:rsidRDefault="00452F53" w:rsidP="00452F53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4%</w:t>
                  </w:r>
                </w:p>
              </w:tc>
            </w:tr>
          </w:tbl>
          <w:p w14:paraId="0722AF96" w14:textId="74EB6B22" w:rsidR="00090852" w:rsidRPr="007803E9" w:rsidRDefault="00090852" w:rsidP="00A21A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 these pupils, 4 had significant medical conditions.</w:t>
            </w:r>
          </w:p>
        </w:tc>
      </w:tr>
      <w:tr w:rsidR="00F516B5" w14:paraId="4288E5BA" w14:textId="77777777" w:rsidTr="00452F53">
        <w:trPr>
          <w:trHeight w:val="60"/>
        </w:trPr>
        <w:tc>
          <w:tcPr>
            <w:tcW w:w="2972" w:type="dxa"/>
            <w:vMerge/>
          </w:tcPr>
          <w:p w14:paraId="749A4CD5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E828E06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518F65C1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53F7455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E5EA4D6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3FE69C47" w14:textId="70C0E4AF" w:rsidR="00F516B5" w:rsidRDefault="00F516B5" w:rsidP="00A21A99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90852">
              <w:rPr>
                <w:rFonts w:ascii="Century Gothic" w:hAnsi="Century Gothic"/>
                <w:sz w:val="20"/>
                <w:szCs w:val="20"/>
                <w:u w:val="single"/>
              </w:rPr>
              <w:t>End of year review – Year 2 (July 2023)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737"/>
              <w:gridCol w:w="737"/>
              <w:gridCol w:w="737"/>
            </w:tblGrid>
            <w:tr w:rsidR="00452F53" w:rsidRPr="00090852" w14:paraId="5907B37E" w14:textId="77777777" w:rsidTr="00452F53">
              <w:trPr>
                <w:cantSplit/>
                <w:trHeight w:val="1134"/>
              </w:trPr>
              <w:tc>
                <w:tcPr>
                  <w:tcW w:w="934" w:type="dxa"/>
                </w:tcPr>
                <w:p w14:paraId="572A7D31" w14:textId="1739E59C" w:rsidR="00452F53" w:rsidRPr="00090852" w:rsidRDefault="00452F53" w:rsidP="00452F5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textDirection w:val="btLr"/>
                </w:tcPr>
                <w:p w14:paraId="1411AD60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National</w:t>
                  </w:r>
                </w:p>
              </w:tc>
              <w:tc>
                <w:tcPr>
                  <w:tcW w:w="737" w:type="dxa"/>
                  <w:textDirection w:val="btLr"/>
                </w:tcPr>
                <w:p w14:paraId="0534F6EC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Dale</w:t>
                  </w:r>
                </w:p>
              </w:tc>
              <w:tc>
                <w:tcPr>
                  <w:tcW w:w="737" w:type="dxa"/>
                  <w:textDirection w:val="btLr"/>
                </w:tcPr>
                <w:p w14:paraId="5BF1744E" w14:textId="77777777" w:rsidR="00452F53" w:rsidRPr="00090852" w:rsidRDefault="00452F53" w:rsidP="00A35F44">
                  <w:pPr>
                    <w:ind w:left="113" w:right="113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Gap</w:t>
                  </w:r>
                </w:p>
              </w:tc>
            </w:tr>
            <w:tr w:rsidR="00452F53" w14:paraId="5153CF05" w14:textId="77777777" w:rsidTr="00452F53">
              <w:tc>
                <w:tcPr>
                  <w:tcW w:w="934" w:type="dxa"/>
                </w:tcPr>
                <w:p w14:paraId="177DDCD7" w14:textId="77777777" w:rsidR="00452F53" w:rsidRPr="00090852" w:rsidRDefault="00452F53" w:rsidP="00452F53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90852">
                    <w:rPr>
                      <w:rFonts w:ascii="Century Gothic" w:hAnsi="Century Gothic"/>
                      <w:sz w:val="16"/>
                      <w:szCs w:val="16"/>
                    </w:rPr>
                    <w:t>Persistent absence</w:t>
                  </w:r>
                </w:p>
              </w:tc>
              <w:tc>
                <w:tcPr>
                  <w:tcW w:w="737" w:type="dxa"/>
                </w:tcPr>
                <w:p w14:paraId="528DE571" w14:textId="293E025F" w:rsidR="00452F53" w:rsidRPr="00090852" w:rsidRDefault="00452F53" w:rsidP="00452F53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28A808E1" w14:textId="232A4FA4" w:rsidR="00452F53" w:rsidRPr="00090852" w:rsidRDefault="00452F53" w:rsidP="00452F53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516957A2" w14:textId="77777777" w:rsidR="00452F53" w:rsidRDefault="00452F53" w:rsidP="00452F53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933F8C9" w14:textId="54EF1EDD" w:rsidR="009F711B" w:rsidRPr="009F711B" w:rsidRDefault="009F711B" w:rsidP="00A21A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 these pupils, 1 had significant medical conditions.</w:t>
            </w:r>
          </w:p>
          <w:p w14:paraId="0D06376C" w14:textId="68F20EF0" w:rsidR="00090852" w:rsidRPr="00452F53" w:rsidRDefault="00090852" w:rsidP="00A21A9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90852">
              <w:rPr>
                <w:rFonts w:ascii="Century Gothic" w:hAnsi="Century Gothic"/>
                <w:i/>
                <w:sz w:val="20"/>
                <w:szCs w:val="20"/>
              </w:rPr>
              <w:t>*Add data from 22-23 ASP when released*</w:t>
            </w:r>
          </w:p>
        </w:tc>
      </w:tr>
      <w:tr w:rsidR="00F516B5" w14:paraId="0E49D042" w14:textId="77777777" w:rsidTr="00452F53">
        <w:trPr>
          <w:trHeight w:val="60"/>
        </w:trPr>
        <w:tc>
          <w:tcPr>
            <w:tcW w:w="2972" w:type="dxa"/>
            <w:vMerge/>
          </w:tcPr>
          <w:p w14:paraId="18E1F2F4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F324113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35F745DA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A3F8EC4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354D57D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6C22CE1B" w14:textId="0EBBED30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End of year review – Year 3 (July 2024)</w:t>
            </w:r>
          </w:p>
        </w:tc>
      </w:tr>
      <w:tr w:rsidR="00F516B5" w14:paraId="3510E0EF" w14:textId="77777777" w:rsidTr="00452F53">
        <w:trPr>
          <w:trHeight w:val="60"/>
        </w:trPr>
        <w:tc>
          <w:tcPr>
            <w:tcW w:w="2972" w:type="dxa"/>
            <w:vMerge/>
          </w:tcPr>
          <w:p w14:paraId="40C71D90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1C5EFE2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11909163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2264619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15C23B2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06D22BD3" w14:textId="77777777" w:rsidR="00F516B5" w:rsidRPr="007803E9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Final evaluation – Year 4 (July 2025)</w:t>
            </w:r>
          </w:p>
          <w:p w14:paraId="6B4E4744" w14:textId="77777777" w:rsidR="00F516B5" w:rsidRDefault="00F516B5" w:rsidP="00A21A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95B06D" w14:textId="217EE5B7" w:rsidR="007803E9" w:rsidRDefault="007803E9">
      <w:pPr>
        <w:rPr>
          <w:rFonts w:ascii="Century Gothic" w:hAnsi="Century Gothic"/>
          <w:sz w:val="20"/>
          <w:szCs w:val="20"/>
        </w:rPr>
      </w:pPr>
    </w:p>
    <w:p w14:paraId="1C3F73E0" w14:textId="494D1C69" w:rsidR="005B7551" w:rsidRDefault="005B7551">
      <w:pPr>
        <w:rPr>
          <w:rFonts w:ascii="Century Gothic" w:hAnsi="Century Gothic"/>
          <w:sz w:val="20"/>
          <w:szCs w:val="20"/>
        </w:rPr>
      </w:pPr>
    </w:p>
    <w:p w14:paraId="2E47BF4A" w14:textId="77777777" w:rsidR="005B7551" w:rsidRDefault="005B7551">
      <w:pPr>
        <w:rPr>
          <w:rFonts w:ascii="Century Gothic" w:hAnsi="Century Gothic"/>
          <w:sz w:val="20"/>
          <w:szCs w:val="20"/>
        </w:rPr>
      </w:pPr>
    </w:p>
    <w:p w14:paraId="69884837" w14:textId="2C474FDB" w:rsidR="005B7551" w:rsidRDefault="005B7551">
      <w:pPr>
        <w:rPr>
          <w:rFonts w:ascii="Century Gothic" w:hAnsi="Century Gothic"/>
          <w:sz w:val="20"/>
          <w:szCs w:val="20"/>
        </w:rPr>
      </w:pPr>
    </w:p>
    <w:p w14:paraId="46CF5149" w14:textId="4640EB9C" w:rsidR="005B7551" w:rsidRDefault="005B7551">
      <w:pPr>
        <w:rPr>
          <w:rFonts w:ascii="Century Gothic" w:hAnsi="Century Gothic"/>
          <w:sz w:val="20"/>
          <w:szCs w:val="20"/>
        </w:rPr>
      </w:pPr>
    </w:p>
    <w:p w14:paraId="439B8AFA" w14:textId="77777777" w:rsidR="005B7551" w:rsidRDefault="005B755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188"/>
        <w:gridCol w:w="1080"/>
        <w:gridCol w:w="2409"/>
        <w:gridCol w:w="3792"/>
      </w:tblGrid>
      <w:tr w:rsidR="005B7551" w:rsidRPr="007803E9" w14:paraId="44B22725" w14:textId="77777777" w:rsidTr="004E205C">
        <w:tc>
          <w:tcPr>
            <w:tcW w:w="2972" w:type="dxa"/>
            <w:shd w:val="clear" w:color="auto" w:fill="5B9BD5" w:themeFill="accent1"/>
          </w:tcPr>
          <w:p w14:paraId="412F615A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Objective</w:t>
            </w:r>
          </w:p>
        </w:tc>
        <w:tc>
          <w:tcPr>
            <w:tcW w:w="3119" w:type="dxa"/>
            <w:shd w:val="clear" w:color="auto" w:fill="5B9BD5" w:themeFill="accent1"/>
          </w:tcPr>
          <w:p w14:paraId="51B68CF1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Action</w:t>
            </w:r>
          </w:p>
        </w:tc>
        <w:tc>
          <w:tcPr>
            <w:tcW w:w="1188" w:type="dxa"/>
            <w:shd w:val="clear" w:color="auto" w:fill="5B9BD5" w:themeFill="accent1"/>
          </w:tcPr>
          <w:p w14:paraId="6349CBD2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When</w:t>
            </w:r>
          </w:p>
        </w:tc>
        <w:tc>
          <w:tcPr>
            <w:tcW w:w="1080" w:type="dxa"/>
            <w:shd w:val="clear" w:color="auto" w:fill="5B9BD5" w:themeFill="accent1"/>
          </w:tcPr>
          <w:p w14:paraId="211D2210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Who</w:t>
            </w:r>
          </w:p>
        </w:tc>
        <w:tc>
          <w:tcPr>
            <w:tcW w:w="2409" w:type="dxa"/>
            <w:shd w:val="clear" w:color="auto" w:fill="5B9BD5" w:themeFill="accent1"/>
          </w:tcPr>
          <w:p w14:paraId="75B0936E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Measure</w:t>
            </w:r>
          </w:p>
        </w:tc>
        <w:tc>
          <w:tcPr>
            <w:tcW w:w="3792" w:type="dxa"/>
            <w:shd w:val="clear" w:color="auto" w:fill="5B9BD5" w:themeFill="accent1"/>
          </w:tcPr>
          <w:p w14:paraId="1214D814" w14:textId="77777777" w:rsidR="005B7551" w:rsidRPr="007803E9" w:rsidRDefault="005B7551" w:rsidP="004E20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03E9">
              <w:rPr>
                <w:rFonts w:ascii="Century Gothic" w:hAnsi="Century Gothic"/>
                <w:b/>
                <w:sz w:val="20"/>
                <w:szCs w:val="20"/>
              </w:rPr>
              <w:t>Outcome/impact</w:t>
            </w:r>
          </w:p>
        </w:tc>
      </w:tr>
      <w:tr w:rsidR="005B7551" w:rsidRPr="007803E9" w14:paraId="35EA6E11" w14:textId="77777777" w:rsidTr="004E205C">
        <w:trPr>
          <w:trHeight w:val="60"/>
        </w:trPr>
        <w:tc>
          <w:tcPr>
            <w:tcW w:w="2972" w:type="dxa"/>
            <w:vMerge w:val="restart"/>
          </w:tcPr>
          <w:p w14:paraId="461584CF" w14:textId="77777777" w:rsidR="005B7551" w:rsidRPr="007803E9" w:rsidRDefault="005B7551" w:rsidP="004E205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803E9">
              <w:rPr>
                <w:rFonts w:ascii="Century Gothic" w:hAnsi="Century Gothic"/>
                <w:i/>
                <w:sz w:val="20"/>
                <w:szCs w:val="20"/>
              </w:rPr>
              <w:t>Stonehill Nursery School</w:t>
            </w:r>
          </w:p>
          <w:p w14:paraId="4294C52D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5D303A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 xml:space="preserve">To increase levels of parental engagement in courses and classes e.g. ESOL, PEEPs </w:t>
            </w:r>
          </w:p>
          <w:p w14:paraId="72101BF3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6F0D3548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Organise a programme of classes run by members of staff and external partners</w:t>
            </w:r>
          </w:p>
          <w:p w14:paraId="68C1FCAC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073383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Identify parents who would benefit from participating and support them to engage</w:t>
            </w:r>
          </w:p>
          <w:p w14:paraId="30503169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14:paraId="0F8456B3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By July 2024 (review annually)</w:t>
            </w:r>
          </w:p>
        </w:tc>
        <w:tc>
          <w:tcPr>
            <w:tcW w:w="1080" w:type="dxa"/>
            <w:vMerge w:val="restart"/>
          </w:tcPr>
          <w:p w14:paraId="62FEC46D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CT</w:t>
            </w:r>
          </w:p>
        </w:tc>
        <w:tc>
          <w:tcPr>
            <w:tcW w:w="2409" w:type="dxa"/>
            <w:vMerge w:val="restart"/>
          </w:tcPr>
          <w:p w14:paraId="62C27AAA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Parents report an increased understanding of how to support their child’s learning</w:t>
            </w:r>
          </w:p>
          <w:p w14:paraId="59E8A944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B289EB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5561CBA5" w14:textId="77777777" w:rsidR="005B7551" w:rsidRPr="00F516B5" w:rsidRDefault="005B7551" w:rsidP="004E205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516B5">
              <w:rPr>
                <w:rFonts w:ascii="Century Gothic" w:hAnsi="Century Gothic"/>
                <w:sz w:val="20"/>
                <w:szCs w:val="20"/>
                <w:u w:val="single"/>
              </w:rPr>
              <w:t>End of year review – Year 1 (July 2022)</w:t>
            </w:r>
          </w:p>
          <w:p w14:paraId="23CE5987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Six classes have been run during the summer term following Covid restrictions being lifted.  Parental feedback from these sessions were positive.</w:t>
            </w:r>
          </w:p>
          <w:p w14:paraId="3E4D48B0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ESOL classes (run by an external provider) did not run due to low numbers following Covid.</w:t>
            </w:r>
          </w:p>
        </w:tc>
      </w:tr>
      <w:tr w:rsidR="005B7551" w:rsidRPr="00526C36" w14:paraId="02510E39" w14:textId="77777777" w:rsidTr="004E205C">
        <w:trPr>
          <w:trHeight w:val="60"/>
        </w:trPr>
        <w:tc>
          <w:tcPr>
            <w:tcW w:w="2972" w:type="dxa"/>
            <w:vMerge/>
          </w:tcPr>
          <w:p w14:paraId="7D8D4BC0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0A01331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080CFDD2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5720B8C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331E4C8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1C22AE4A" w14:textId="77777777" w:rsidR="005B7551" w:rsidRPr="000C365A" w:rsidRDefault="005B7551" w:rsidP="004E205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13309">
              <w:rPr>
                <w:rFonts w:ascii="Century Gothic" w:hAnsi="Century Gothic"/>
                <w:sz w:val="20"/>
                <w:szCs w:val="20"/>
                <w:u w:val="single"/>
              </w:rPr>
              <w:t>End of year review – Year 2 (July 2023)</w:t>
            </w:r>
          </w:p>
          <w:p w14:paraId="79851A5B" w14:textId="77777777" w:rsidR="005B7551" w:rsidRPr="00526C36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526C36">
              <w:rPr>
                <w:rFonts w:ascii="Century Gothic" w:hAnsi="Century Gothic"/>
                <w:sz w:val="20"/>
                <w:szCs w:val="20"/>
              </w:rPr>
              <w:t xml:space="preserve">Parent sessions have been positive.  115 parents attended 21 different sessions.  Sessions have included </w:t>
            </w:r>
            <w:r>
              <w:rPr>
                <w:rFonts w:ascii="Century Gothic" w:hAnsi="Century Gothic"/>
                <w:sz w:val="20"/>
                <w:szCs w:val="20"/>
              </w:rPr>
              <w:t>a focus on health, supporting independence, communication and language, behaviour, maths, e-safety, school readiness, regulation of emotions and routines at home.  Feedback from parents has been positive including how the sessions have helped them to support their child.</w:t>
            </w:r>
          </w:p>
        </w:tc>
      </w:tr>
      <w:tr w:rsidR="005B7551" w14:paraId="424076AC" w14:textId="77777777" w:rsidTr="004E205C">
        <w:trPr>
          <w:trHeight w:val="60"/>
        </w:trPr>
        <w:tc>
          <w:tcPr>
            <w:tcW w:w="2972" w:type="dxa"/>
            <w:vMerge/>
          </w:tcPr>
          <w:p w14:paraId="7A9B493D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255B3A2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1CD90BD2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DA73315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25F8486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456BBEA1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End of year review – Year 3 (July 2024)</w:t>
            </w:r>
          </w:p>
          <w:p w14:paraId="517CF7EF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7551" w14:paraId="58F26F87" w14:textId="77777777" w:rsidTr="004E205C">
        <w:trPr>
          <w:trHeight w:val="60"/>
        </w:trPr>
        <w:tc>
          <w:tcPr>
            <w:tcW w:w="2972" w:type="dxa"/>
            <w:vMerge/>
          </w:tcPr>
          <w:p w14:paraId="3E157F13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9B8C688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20A525F3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AADAD3F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3DC3F26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636F78FB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  <w:r w:rsidRPr="007803E9">
              <w:rPr>
                <w:rFonts w:ascii="Century Gothic" w:hAnsi="Century Gothic"/>
                <w:sz w:val="20"/>
                <w:szCs w:val="20"/>
              </w:rPr>
              <w:t>Final evaluation – Year 4 (July 2025)</w:t>
            </w:r>
          </w:p>
          <w:p w14:paraId="46812FD7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153234" w14:textId="77777777" w:rsidR="005B7551" w:rsidRPr="007803E9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33F2B1" w14:textId="77777777" w:rsidR="005B7551" w:rsidRDefault="005B7551" w:rsidP="004E20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683065" w14:textId="77777777" w:rsidR="005B7551" w:rsidRPr="007803E9" w:rsidRDefault="005B7551">
      <w:pPr>
        <w:rPr>
          <w:rFonts w:ascii="Century Gothic" w:hAnsi="Century Gothic"/>
          <w:sz w:val="20"/>
          <w:szCs w:val="20"/>
        </w:rPr>
      </w:pPr>
    </w:p>
    <w:sectPr w:rsidR="005B7551" w:rsidRPr="007803E9" w:rsidSect="007803E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B5FC" w14:textId="77777777" w:rsidR="006A6049" w:rsidRDefault="006A6049" w:rsidP="00CE2D3D">
      <w:pPr>
        <w:spacing w:after="0" w:line="240" w:lineRule="auto"/>
      </w:pPr>
      <w:r>
        <w:separator/>
      </w:r>
    </w:p>
  </w:endnote>
  <w:endnote w:type="continuationSeparator" w:id="0">
    <w:p w14:paraId="22494D9B" w14:textId="77777777" w:rsidR="006A6049" w:rsidRDefault="006A6049" w:rsidP="00C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A6A6A6" w:themeColor="background1" w:themeShade="A6"/>
        <w:sz w:val="16"/>
        <w:szCs w:val="16"/>
      </w:rPr>
      <w:id w:val="162241882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E81D49" w14:textId="77777777" w:rsidR="00CE2D3D" w:rsidRPr="00CE2D3D" w:rsidRDefault="00CE2D3D">
            <w:pPr>
              <w:pStyle w:val="Footer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  <w:r w:rsidRPr="00CE2D3D"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6D62B5">
              <w:rPr>
                <w:rFonts w:ascii="Century Gothic" w:hAnsi="Century Gothic"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2D3D"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6D62B5">
              <w:rPr>
                <w:rFonts w:ascii="Century Gothic" w:hAnsi="Century Gothic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2D3D">
              <w:rPr>
                <w:rFonts w:ascii="Century Gothic" w:hAnsi="Century Gothic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EB868A3" w14:textId="77777777" w:rsidR="00CE2D3D" w:rsidRDefault="00CE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1D5E" w14:textId="77777777" w:rsidR="006A6049" w:rsidRDefault="006A6049" w:rsidP="00CE2D3D">
      <w:pPr>
        <w:spacing w:after="0" w:line="240" w:lineRule="auto"/>
      </w:pPr>
      <w:r>
        <w:separator/>
      </w:r>
    </w:p>
  </w:footnote>
  <w:footnote w:type="continuationSeparator" w:id="0">
    <w:p w14:paraId="0DDA650F" w14:textId="77777777" w:rsidR="006A6049" w:rsidRDefault="006A6049" w:rsidP="00CE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0C7B"/>
    <w:multiLevelType w:val="hybridMultilevel"/>
    <w:tmpl w:val="042A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E7"/>
    <w:rsid w:val="00007536"/>
    <w:rsid w:val="00090852"/>
    <w:rsid w:val="000C0F9C"/>
    <w:rsid w:val="000C365A"/>
    <w:rsid w:val="000D275A"/>
    <w:rsid w:val="001252D5"/>
    <w:rsid w:val="00157D14"/>
    <w:rsid w:val="00207E0C"/>
    <w:rsid w:val="00213309"/>
    <w:rsid w:val="00246991"/>
    <w:rsid w:val="00275C3C"/>
    <w:rsid w:val="002B5A22"/>
    <w:rsid w:val="0032495E"/>
    <w:rsid w:val="00347A2A"/>
    <w:rsid w:val="003652F0"/>
    <w:rsid w:val="00366E8B"/>
    <w:rsid w:val="003E6C82"/>
    <w:rsid w:val="0044378A"/>
    <w:rsid w:val="00451E5B"/>
    <w:rsid w:val="00452F53"/>
    <w:rsid w:val="0051179C"/>
    <w:rsid w:val="00513DBE"/>
    <w:rsid w:val="00526C36"/>
    <w:rsid w:val="00550EB2"/>
    <w:rsid w:val="005B7551"/>
    <w:rsid w:val="005F296F"/>
    <w:rsid w:val="006014DA"/>
    <w:rsid w:val="00637887"/>
    <w:rsid w:val="00642AEA"/>
    <w:rsid w:val="006872FB"/>
    <w:rsid w:val="006A6049"/>
    <w:rsid w:val="006D4638"/>
    <w:rsid w:val="006D62B5"/>
    <w:rsid w:val="00707628"/>
    <w:rsid w:val="00724C8B"/>
    <w:rsid w:val="00737FA9"/>
    <w:rsid w:val="00764D60"/>
    <w:rsid w:val="007803E9"/>
    <w:rsid w:val="007A24AD"/>
    <w:rsid w:val="007A6331"/>
    <w:rsid w:val="007D4406"/>
    <w:rsid w:val="00856929"/>
    <w:rsid w:val="008D0EEB"/>
    <w:rsid w:val="0093476A"/>
    <w:rsid w:val="009A561E"/>
    <w:rsid w:val="009B05A0"/>
    <w:rsid w:val="009E25C1"/>
    <w:rsid w:val="009F5E1A"/>
    <w:rsid w:val="009F711B"/>
    <w:rsid w:val="00A35F44"/>
    <w:rsid w:val="00AB52EA"/>
    <w:rsid w:val="00AE712C"/>
    <w:rsid w:val="00B26E28"/>
    <w:rsid w:val="00B769A1"/>
    <w:rsid w:val="00BC29CB"/>
    <w:rsid w:val="00C30CFF"/>
    <w:rsid w:val="00CE2D3D"/>
    <w:rsid w:val="00D76AE0"/>
    <w:rsid w:val="00D8456B"/>
    <w:rsid w:val="00DB3DE6"/>
    <w:rsid w:val="00DE3FD6"/>
    <w:rsid w:val="00E72195"/>
    <w:rsid w:val="00E90E7E"/>
    <w:rsid w:val="00EB70D5"/>
    <w:rsid w:val="00EE0F2D"/>
    <w:rsid w:val="00EF08E7"/>
    <w:rsid w:val="00F04424"/>
    <w:rsid w:val="00F2587C"/>
    <w:rsid w:val="00F516B5"/>
    <w:rsid w:val="00FA1566"/>
    <w:rsid w:val="00FA222D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7202"/>
  <w15:chartTrackingRefBased/>
  <w15:docId w15:val="{0178225F-4087-404C-B701-E7B9698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E7E"/>
    <w:pPr>
      <w:spacing w:after="0" w:line="240" w:lineRule="auto"/>
    </w:pPr>
  </w:style>
  <w:style w:type="paragraph" w:customStyle="1" w:styleId="1bodycopy10pt">
    <w:name w:val="1 body copy 10pt"/>
    <w:basedOn w:val="Normal"/>
    <w:link w:val="1bodycopy10ptChar"/>
    <w:qFormat/>
    <w:rsid w:val="00D76AE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D76AE0"/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3D"/>
  </w:style>
  <w:style w:type="paragraph" w:styleId="Footer">
    <w:name w:val="footer"/>
    <w:basedOn w:val="Normal"/>
    <w:link w:val="FooterChar"/>
    <w:uiPriority w:val="99"/>
    <w:unhideWhenUsed/>
    <w:rsid w:val="00CE2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3D"/>
  </w:style>
  <w:style w:type="table" w:customStyle="1" w:styleId="TableGrid1">
    <w:name w:val="Table Grid1"/>
    <w:basedOn w:val="TableNormal"/>
    <w:next w:val="TableGrid"/>
    <w:uiPriority w:val="39"/>
    <w:rsid w:val="0020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 Community primary School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Foster</dc:creator>
  <cp:keywords/>
  <dc:description/>
  <cp:lastModifiedBy>Louise Foster</cp:lastModifiedBy>
  <cp:revision>19</cp:revision>
  <cp:lastPrinted>2021-03-29T12:29:00Z</cp:lastPrinted>
  <dcterms:created xsi:type="dcterms:W3CDTF">2022-07-13T09:43:00Z</dcterms:created>
  <dcterms:modified xsi:type="dcterms:W3CDTF">2023-07-07T10:58:00Z</dcterms:modified>
</cp:coreProperties>
</file>